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merican Typewriter" w:hAnsi="American Typewriter"/>
          <w:b w:val="1"/>
          <w:bCs w:val="1"/>
          <w:sz w:val="40"/>
          <w:szCs w:val="40"/>
        </w:rPr>
      </w:pP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>PATIENT INFORMATION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Preoperative patient instructions for those NOT RECEIVING IV SEDATION: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 xml:space="preserve">1.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You may eat and drink the night before and the morning of your surgery. 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2. Please consult with your surgeon about taking your daily medications with a small sip of water on the day of your procedure. Stop all vitamins, multi vitamins and aspirin 7 days prior to the surgery. If you are taking a blood thinner, please consult with your surgeon and/or primary physician for further instructions as you will DEFINITELY NOT BE TAKING YOUR BLOOD THINNER for a certain period of time before your procedure. 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>3.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 Please do not bring young children with you on the day of your surgery.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 xml:space="preserve">4. Wear comfortable, loose fitting clothes. You will be given proper attire while at the Surgery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>Center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5. Do not wear makeup or nail polish the day of surgery.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 xml:space="preserve">6. DO NOT BRING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JEWELRY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de-DE"/>
        </w:rPr>
        <w:t xml:space="preserve"> OR OTHER VALUABLES WITH YOU.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7. If any change in your health status occurs within one week of the surgery (for example,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a cold, cough or fever), please notify your surgeon immediately.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8. A pre-operative history, physical examination and certain laboratory tests may be required prior to surgery. This will be arranged through y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fr-FR"/>
        </w:rPr>
        <w:t>our surgeon</w:t>
      </w:r>
      <w:r>
        <w:rPr>
          <w:rFonts w:ascii="American Typewriter" w:hAnsi="American Typewriter" w:hint="default"/>
          <w:b w:val="1"/>
          <w:bCs w:val="1"/>
          <w:sz w:val="40"/>
          <w:szCs w:val="40"/>
          <w:rtl w:val="1"/>
        </w:rPr>
        <w:t>’</w:t>
      </w: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s office.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  <w:r>
        <w:rPr>
          <w:rFonts w:ascii="American Typewriter" w:hAnsi="American Typewriter"/>
          <w:b w:val="1"/>
          <w:bCs w:val="1"/>
          <w:sz w:val="40"/>
          <w:szCs w:val="40"/>
          <w:rtl w:val="0"/>
          <w:lang w:val="en-US"/>
        </w:rPr>
        <w:t>9. Arrive at the Surgery Center one hour prior to your scheduled procedure so that admission procedures may be accomplished.</w:t>
      </w: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</w:p>
    <w:p>
      <w:pPr>
        <w:pStyle w:val="Body A"/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pPr>
    </w:p>
    <w:p>
      <w:pPr>
        <w:pStyle w:val="Body A"/>
      </w:pPr>
      <w:r>
        <w:rPr>
          <w:rFonts w:ascii="American Typewriter" w:cs="American Typewriter" w:hAnsi="American Typewriter" w:eastAsia="American Typewriter"/>
          <w:b w:val="1"/>
          <w:bCs w:val="1"/>
          <w:sz w:val="40"/>
          <w:szCs w:val="4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6"/>
      <w:szCs w:val="6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